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765" w:lineRule="atLeast"/>
        <w:ind w:left="0" w:right="0" w:firstLine="0"/>
        <w:jc w:val="center"/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23"/>
          <w:sz w:val="44"/>
          <w:szCs w:val="44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23"/>
          <w:sz w:val="44"/>
          <w:szCs w:val="44"/>
          <w:lang w:val="en-US" w:eastAsia="zh-CN"/>
        </w:rPr>
        <w:t>中站区</w:t>
      </w: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23"/>
          <w:sz w:val="44"/>
          <w:szCs w:val="44"/>
        </w:rPr>
        <w:t>新冠肺炎疫情防控指挥部办公室通</w:t>
      </w: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23"/>
          <w:sz w:val="44"/>
          <w:szCs w:val="44"/>
          <w:lang w:val="en-US" w:eastAsia="zh-CN"/>
        </w:rPr>
        <w:t xml:space="preserve">   </w:t>
      </w: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23"/>
          <w:sz w:val="44"/>
          <w:szCs w:val="44"/>
        </w:rPr>
        <w:t>告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765" w:lineRule="atLeast"/>
        <w:ind w:left="0" w:right="0" w:firstLine="0"/>
        <w:jc w:val="center"/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23"/>
          <w:sz w:val="44"/>
          <w:szCs w:val="44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23"/>
          <w:sz w:val="44"/>
          <w:szCs w:val="44"/>
        </w:rPr>
        <w:t>（2022年第1号）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 w:firstLine="645"/>
        <w:jc w:val="both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27"/>
          <w:szCs w:val="27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当前，省内外多地出现散发和局部聚集性疫情，为有效防止疫情输入和传播，保障人民群众身体健康，度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过平安、祥和的春节，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按照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市疫情防控指挥部办公室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要求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，在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辖区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内重要交通路口设置交通检测站，现将有关事项通告如下。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  <w:t>一、规范设置交通检测站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从2022年1月4日14时起，在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我区境内的焦温、焦郑、焦晋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高速公路下站口设置交通检测站。严禁在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域间道路、农村公路等路段擅自设置交通卡口。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  <w:t>二、分类落实来（返）</w:t>
      </w:r>
      <w:r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我区</w:t>
      </w:r>
      <w:r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  <w:t>人员管控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（一）对国内中、高风险地区所在地级市（直辖市、副省级城市的县、市、区）的外来车辆及人员，有序劝返（保障生产、生活、防疫等必须物资的车辆及人员除外）。已在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的国内中、高风险地区及所在县（市、区、旗）人员，落实“14天集中隔离+7天居家健康监测”管控措施；中、高风险地区所在地级市（直辖市、副省级城市的县、市、区）其他县（市、区、旗）人员，落实14天居家健康监测。集中隔离和居家健康监测期间均需按要求频次进行核酸检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（二）对发现有本土疫情但尚未调整风险等级的地级市（直辖市、副省级城市的县、市、区）来（返）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人员，查验48小时内核酸检测阴性证明和健康码、行程码。其中，对感染病例所在县（市、区、旗）的抵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达我区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人员，落实“7天集中隔离+7天居家健康监测”管控措施；对其他县（市、区、旗）的抵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达我区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人员，落实14天居家健康监测和3次核酸检测。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（三）对无本土疫情的地级市（直辖市、副省级城市的县、市、区）来（返）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人员，查验48小时内核酸检测阴性证明和健康码、行程码。其中，省外来（返）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人员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抵达我区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后落实14天居家健康监测和3次核酸检测。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（四）对健康码“红”码人员，立即闭环转运至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集中隔离点，落实管控措施；对健康码“黄”码人员，需提供48小时内核酸检测阴性证明，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抵达我区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后落实居家隔离或居家健康监测。 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（五）老人、未成年人、残疾人等人群不能出示健康码的，可通过家人代办健康码或出示单位、村（社区）证明等方式方便通行。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  <w:t>三、强化检测服务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交通检测站要设立临时核酸采样点，对进行核酸采样的人员（按10∶1混检，费用由个人承担）要详细登记个人信息（姓名、身份证号、联系电话、入焦居住地址等）。人员在核酸检测未出结果前，不乘坐公共交通工具，不参加聚集性活动，不前往人员密集场所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区人民医院核酸检测服务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实行24小时工作制，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居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民可自行选择单样检测或混样检测。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  <w:t>四、加强重点场所管控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医院、农贸市场、商场、超市、宾馆、餐馆、养老院、办事大厅、娱乐休闲场所等重点场所要严格落实“扫（验）码+测温+戴口罩”和日常消毒、通风等防控措施，设专人负责防疫管理和巡查，不配合落实防控措施的人员拒绝其进入。景区、游戏厅、网吧、酒吧、KTV等场所接待人数控制在最大承载量的75%以内。宾馆、酒店、民宿、洗浴中心等具备留宿功能的场所，对外市入住人员要查验健康码、行程码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抵达我区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之日起48小时内核酸检测证明，并做好外来人员报备。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iCs w:val="0"/>
          <w:caps w:val="0"/>
          <w:color w:val="000000"/>
          <w:spacing w:val="23"/>
          <w:sz w:val="32"/>
          <w:szCs w:val="32"/>
        </w:rPr>
        <w:t>五、做好个人防护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倡导在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中站辖区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居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民和朋友就地过节，在外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地务工、经商的中站人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尽量留在当地过节，避免旅途中的感染风险；确需来（返）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我区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的，需提前通过“焦我办”APP进行防疫报备，或电话联系社区（村）报备。对瞒报、谎报、缓报行程信息或不配合疫情防控工作，造成严重后果的人员，将依法严肃处理。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本通告自2022年1月4日14时起执行，后续根据疫情形势适时调整。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7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  <w:lang w:val="en-US" w:eastAsia="zh-CN"/>
        </w:rPr>
        <w:t>中站区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新冠肺炎疫情防控指挥部办公室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870BE"/>
          <w:spacing w:val="23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23"/>
          <w:sz w:val="32"/>
          <w:szCs w:val="32"/>
        </w:rPr>
        <w:t>2022年1月4日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70978"/>
    <w:rsid w:val="1E8F7D17"/>
    <w:rsid w:val="207C0E5A"/>
    <w:rsid w:val="2CF70978"/>
    <w:rsid w:val="55A45252"/>
    <w:rsid w:val="7F8E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2022-01-04T07:50:00Z</dcterms:created>
  <dc:creator>Administrator</dc:creator>
  <cp:lastModifiedBy>Administrator</cp:lastModifiedBy>
  <dcterms:modified xsi:type="dcterms:W3CDTF">2022-01-05T01:00:56Z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AEC971CD4E624E82A34557704EB0FCD0</vt:lpwstr>
  </property>
</Properties>
</file>